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2C26E3" w:rsidTr="003C20DB">
        <w:trPr>
          <w:trHeight w:hRule="exact" w:val="8335"/>
        </w:trPr>
        <w:tc>
          <w:tcPr>
            <w:tcW w:w="10876" w:type="dxa"/>
            <w:vAlign w:val="center"/>
          </w:tcPr>
          <w:p w:rsidR="002C26E3" w:rsidRDefault="002C26E3" w:rsidP="003C20DB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"ГОСТ Р 57974-2017. Национальный стандарт Российской Федерации. 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требования"</w:t>
            </w:r>
            <w:r>
              <w:rPr>
                <w:sz w:val="48"/>
                <w:szCs w:val="48"/>
              </w:rPr>
              <w:br/>
              <w:t xml:space="preserve">(утв. Приказом </w:t>
            </w:r>
            <w:proofErr w:type="spellStart"/>
            <w:r>
              <w:rPr>
                <w:sz w:val="48"/>
                <w:szCs w:val="48"/>
              </w:rPr>
              <w:t>Росстандарта</w:t>
            </w:r>
            <w:proofErr w:type="spellEnd"/>
            <w:r>
              <w:rPr>
                <w:sz w:val="48"/>
                <w:szCs w:val="48"/>
              </w:rPr>
              <w:t xml:space="preserve"> от 21.11.2017 N 1794-ст)</w:t>
            </w:r>
          </w:p>
        </w:tc>
      </w:tr>
      <w:tr w:rsidR="002C26E3" w:rsidTr="003C20DB">
        <w:trPr>
          <w:trHeight w:hRule="exact" w:val="3031"/>
        </w:trPr>
        <w:tc>
          <w:tcPr>
            <w:tcW w:w="10876" w:type="dxa"/>
            <w:vAlign w:val="center"/>
          </w:tcPr>
          <w:p w:rsidR="002C26E3" w:rsidRDefault="002C26E3" w:rsidP="003C20D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2C26E3" w:rsidRDefault="002C26E3" w:rsidP="002C26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C26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C26E3" w:rsidRDefault="002C26E3" w:rsidP="002C26E3">
      <w:pPr>
        <w:pStyle w:val="ConsPlusNormal"/>
        <w:jc w:val="both"/>
        <w:outlineLvl w:val="0"/>
      </w:pPr>
    </w:p>
    <w:p w:rsidR="002C26E3" w:rsidRDefault="002C26E3" w:rsidP="002C26E3">
      <w:pPr>
        <w:pStyle w:val="ConsPlusTitle"/>
        <w:jc w:val="center"/>
      </w:pPr>
      <w:r>
        <w:t>ФЕДЕРАЛЬНОЕ АГЕНТСТВО ПО ТЕХНИЧЕСКОМУ РЕГУЛИРОВАНИЮ</w:t>
      </w:r>
    </w:p>
    <w:p w:rsidR="002C26E3" w:rsidRDefault="002C26E3" w:rsidP="002C26E3">
      <w:pPr>
        <w:pStyle w:val="ConsPlusTitle"/>
        <w:jc w:val="center"/>
      </w:pPr>
      <w:r>
        <w:t>И МЕТРОЛОГИИ</w:t>
      </w:r>
    </w:p>
    <w:p w:rsidR="002C26E3" w:rsidRDefault="002C26E3" w:rsidP="002C26E3">
      <w:pPr>
        <w:pStyle w:val="ConsPlusTitle"/>
        <w:jc w:val="both"/>
      </w:pPr>
    </w:p>
    <w:p w:rsidR="002C26E3" w:rsidRDefault="002C26E3" w:rsidP="002C26E3">
      <w:pPr>
        <w:pStyle w:val="ConsPlusTitle"/>
        <w:jc w:val="center"/>
      </w:pPr>
      <w:r>
        <w:t>НАЦИОНАЛЬНЫЙ СТАНДАРТ РОССИЙСКОЙ ФЕДЕРАЦИИ</w:t>
      </w:r>
    </w:p>
    <w:p w:rsidR="002C26E3" w:rsidRDefault="002C26E3" w:rsidP="002C26E3">
      <w:pPr>
        <w:pStyle w:val="ConsPlusTitle"/>
        <w:jc w:val="both"/>
      </w:pPr>
    </w:p>
    <w:p w:rsidR="002C26E3" w:rsidRDefault="002C26E3" w:rsidP="002C26E3">
      <w:pPr>
        <w:pStyle w:val="ConsPlusTitle"/>
        <w:jc w:val="center"/>
      </w:pPr>
      <w:r>
        <w:t>ГОСТ Р 57974-2017</w:t>
      </w:r>
    </w:p>
    <w:p w:rsidR="002C26E3" w:rsidRDefault="002C26E3" w:rsidP="002C26E3">
      <w:pPr>
        <w:pStyle w:val="ConsPlusTitle"/>
        <w:jc w:val="both"/>
      </w:pPr>
    </w:p>
    <w:p w:rsidR="002C26E3" w:rsidRDefault="002C26E3" w:rsidP="002C26E3">
      <w:pPr>
        <w:pStyle w:val="ConsPlusTitle"/>
        <w:jc w:val="center"/>
      </w:pPr>
      <w:r>
        <w:t>ПРОИЗВОДСТВЕННЫЕ УСЛУГИ</w:t>
      </w:r>
    </w:p>
    <w:p w:rsidR="002C26E3" w:rsidRDefault="002C26E3" w:rsidP="002C26E3">
      <w:pPr>
        <w:pStyle w:val="ConsPlusTitle"/>
        <w:jc w:val="both"/>
      </w:pPr>
    </w:p>
    <w:p w:rsidR="002C26E3" w:rsidRDefault="002C26E3" w:rsidP="002C26E3">
      <w:pPr>
        <w:pStyle w:val="ConsPlusTitle"/>
        <w:jc w:val="center"/>
      </w:pPr>
      <w:r>
        <w:t>ОРГАНИЗАЦИЯ</w:t>
      </w:r>
    </w:p>
    <w:p w:rsidR="002C26E3" w:rsidRDefault="002C26E3" w:rsidP="002C26E3">
      <w:pPr>
        <w:pStyle w:val="ConsPlusTitle"/>
        <w:jc w:val="center"/>
      </w:pPr>
      <w:r>
        <w:t>ПРОВЕДЕНИЯ ПРОВЕРКИ РАБОТОСПОСОБНОСТИ СИСТЕМ И УСТАНОВОК</w:t>
      </w:r>
    </w:p>
    <w:p w:rsidR="002C26E3" w:rsidRDefault="002C26E3" w:rsidP="002C26E3">
      <w:pPr>
        <w:pStyle w:val="ConsPlusTitle"/>
        <w:jc w:val="center"/>
      </w:pPr>
      <w:r>
        <w:t>ПРОТИВОПОЖАРНОЙ ЗАЩИТЫ ЗДАНИЙ И СООРУЖЕНИЙ.</w:t>
      </w:r>
    </w:p>
    <w:p w:rsidR="002C26E3" w:rsidRPr="002A1345" w:rsidRDefault="002C26E3" w:rsidP="002C26E3">
      <w:pPr>
        <w:pStyle w:val="ConsPlusTitle"/>
        <w:jc w:val="center"/>
        <w:rPr>
          <w:lang w:val="en-US"/>
        </w:rPr>
      </w:pPr>
      <w:r>
        <w:t>ОБЩИЕ</w:t>
      </w:r>
      <w:r w:rsidRPr="002A1345">
        <w:rPr>
          <w:lang w:val="en-US"/>
        </w:rPr>
        <w:t xml:space="preserve"> </w:t>
      </w:r>
      <w:r>
        <w:t>ТРЕБОВАНИЯ</w:t>
      </w:r>
    </w:p>
    <w:p w:rsidR="002C26E3" w:rsidRPr="002A1345" w:rsidRDefault="002C26E3" w:rsidP="002C26E3">
      <w:pPr>
        <w:pStyle w:val="ConsPlusTitle"/>
        <w:jc w:val="both"/>
        <w:rPr>
          <w:lang w:val="en-US"/>
        </w:rPr>
      </w:pPr>
    </w:p>
    <w:p w:rsidR="002C26E3" w:rsidRPr="002A1345" w:rsidRDefault="002C26E3" w:rsidP="002C26E3">
      <w:pPr>
        <w:pStyle w:val="ConsPlusTitle"/>
        <w:jc w:val="center"/>
        <w:rPr>
          <w:lang w:val="en-US"/>
        </w:rPr>
      </w:pPr>
      <w:proofErr w:type="gramStart"/>
      <w:r w:rsidRPr="002A1345">
        <w:rPr>
          <w:lang w:val="en-US"/>
        </w:rPr>
        <w:t>Production services.</w:t>
      </w:r>
      <w:proofErr w:type="gramEnd"/>
      <w:r w:rsidRPr="002A1345">
        <w:rPr>
          <w:lang w:val="en-US"/>
        </w:rPr>
        <w:t xml:space="preserve"> Organization of health checks</w:t>
      </w:r>
    </w:p>
    <w:p w:rsidR="002C26E3" w:rsidRPr="002A1345" w:rsidRDefault="002C26E3" w:rsidP="002C26E3">
      <w:pPr>
        <w:pStyle w:val="ConsPlusTitle"/>
        <w:jc w:val="center"/>
        <w:rPr>
          <w:lang w:val="en-US"/>
        </w:rPr>
      </w:pPr>
      <w:proofErr w:type="gramStart"/>
      <w:r w:rsidRPr="002A1345">
        <w:rPr>
          <w:lang w:val="en-US"/>
        </w:rPr>
        <w:t>of</w:t>
      </w:r>
      <w:proofErr w:type="gramEnd"/>
      <w:r w:rsidRPr="002A1345">
        <w:rPr>
          <w:lang w:val="en-US"/>
        </w:rPr>
        <w:t xml:space="preserve"> the systems and installations for fire protection</w:t>
      </w:r>
    </w:p>
    <w:p w:rsidR="002C26E3" w:rsidRPr="002A1345" w:rsidRDefault="002C26E3" w:rsidP="002C26E3">
      <w:pPr>
        <w:pStyle w:val="ConsPlusTitle"/>
        <w:jc w:val="center"/>
        <w:rPr>
          <w:lang w:val="en-US"/>
        </w:rPr>
      </w:pPr>
      <w:proofErr w:type="gramStart"/>
      <w:r w:rsidRPr="002A1345">
        <w:rPr>
          <w:lang w:val="en-US"/>
        </w:rPr>
        <w:t>of</w:t>
      </w:r>
      <w:proofErr w:type="gramEnd"/>
      <w:r w:rsidRPr="002A1345">
        <w:rPr>
          <w:lang w:val="en-US"/>
        </w:rPr>
        <w:t xml:space="preserve"> buildings and structures. General requirements</w:t>
      </w:r>
    </w:p>
    <w:p w:rsidR="002C26E3" w:rsidRPr="002A1345" w:rsidRDefault="002C26E3" w:rsidP="002C26E3">
      <w:pPr>
        <w:pStyle w:val="ConsPlusNormal"/>
        <w:jc w:val="both"/>
        <w:rPr>
          <w:lang w:val="en-US"/>
        </w:rPr>
      </w:pPr>
    </w:p>
    <w:p w:rsidR="002C26E3" w:rsidRDefault="002C26E3" w:rsidP="002C26E3">
      <w:pPr>
        <w:pStyle w:val="ConsPlusNormal"/>
        <w:jc w:val="right"/>
      </w:pPr>
      <w:r>
        <w:t>Дата введения - 2018-05-01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jc w:val="center"/>
        <w:outlineLvl w:val="0"/>
      </w:pPr>
      <w:r>
        <w:t>Предисловие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1 РАЗРАБОТАН Национальным исследовательским Московским государственным строительным университетом (НИУ МГСУ), Общероссийской общественной организацией "Всероссийское добровольное пожарное общество" (ВДПО), Ассоциацией "Национальный союз организаций в области обеспечения пожарной безопасности" (НСОПБ)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2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001 "Производственные услуги"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 УТВЕРЖДЕН И ВВЕДЕН В ДЕЙСТВИЕ Приказом Федерального агентства по техническому регулированию и метрологии от 21 ноября 2017 г. N 1794-ст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4 ВВЕДЕН ВПЕРВЫЕ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Правила применения настоящего стандарта установлены в статье 26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>
        <w:t>www.gost.ru</w:t>
      </w:r>
      <w:proofErr w:type="spellEnd"/>
      <w:r>
        <w:t>)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jc w:val="center"/>
        <w:outlineLvl w:val="0"/>
      </w:pPr>
      <w:r>
        <w:t>Введение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Автоматические системы противопожарной защиты (далее - системы) зданий и сооружений являются одним из наиболее эффективных сре</w:t>
      </w:r>
      <w:proofErr w:type="gramStart"/>
      <w:r>
        <w:t>дств пр</w:t>
      </w:r>
      <w:proofErr w:type="gramEnd"/>
      <w:r>
        <w:t>отивопожарной защиты объектов.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proofErr w:type="gramStart"/>
      <w:r>
        <w:t>Систематическая и качественно выполненная проверка работоспособности систем позволит повысить их надежность и вероятность недопущения превышения значений допустимого риска на объектах защиты, установленного Федеральным законом от 22 июля 2008 г. N 123-ФЗ "Технический регламент о требованиях пожарной безопасности", а также Федеральным законом от 30 декабря 2009 г. N 384-ФЗ (ред. от 2 июля 2013 г.) "Технический регламент о безопасности зданий и</w:t>
      </w:r>
      <w:proofErr w:type="gramEnd"/>
      <w:r>
        <w:t xml:space="preserve"> сооружений".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lastRenderedPageBreak/>
        <w:t>Реализация положений настоящего стандарта направлена на обеспечение выполнения требований Федерального закона от 22 июля 2008 г. N 123-ФЗ "Технический регламент о требованиях пожарной безопасности" и постановления Правительства Российской Федерации от 25 апреля 2012 г. N 390 "О противопожарном режиме".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1 Область применения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Настоящий стандарт устанавливает требования к организации проведения проверок работоспособности вводимых в эксплуатацию и эксплуатируемых в зданиях и сооружениях (далее - объект защиты) систем, установок противопожарной защиты и их элементов (далее - системы ППЗ).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Требования стандарта распространяются на организацию проведения проверки работоспособности следующих систем ППЗ: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автоматических установок пожаротушения;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автономных установок пожаротушения;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автономных устройств пожаротушения;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автоматической пожарной сигнализации;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систем оповещения и управления эвакуацией;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-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внутренних противопожарных водопроводов.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2 Нормативные ссылки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 и документы: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12.2.047 Система стандартов безопасности труда (ССБТ). Пожарная техника. Термины и определения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12.4.009 Пожарная техника для защиты объектов. Основные виды. Размещение и обслуживание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21.001 Система проектной документации для строительства. Общие положения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27.002 Надежность в технике. Основные понятия. Термины и определения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Р 1.1 Стандартизация в Российской Федерации. Технические комитеты по стандартизации. Правила создания и деятельности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Р 1.12 Национальная система стандартизации в Российской Федерации. Термины и определения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Р 53325 Техника пожарная. Технические средства пожарной автоматики. Общие технические требования и методы испытаний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Р 56935 Производственные услуги. Услуги по построению системы мониторинга автоматических систем противопожарной защиты и вывода сигналов на пульт централизованного наблюдения "01" и "112"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ГОСТ Р 56936 Производственные услуги. Системы безопасности технические. Этапы жизненного цикла систем. Общие требования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lastRenderedPageBreak/>
        <w:t>ГОСТ Р 57369 Производственные услуги. Термины и определения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СП 5.13130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СП 10.13130 Системы противопожарной защиты. Внутренний противопожарный водопровод. Требования пожарной безопасности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и сводов правил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</w:t>
      </w:r>
      <w:proofErr w:type="gramStart"/>
      <w:r>
        <w:t>Если после утверждения настоящего стандарта в ссылочной стандарт, на которой дана датированная ссылка, внесено изменение, затрагивающее положение, на которые дана ссылка, то это положение рекомендуется применять без учета данного изменения.</w:t>
      </w:r>
      <w:proofErr w:type="gramEnd"/>
      <w:r>
        <w:t xml:space="preserve">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3 Термины и определения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 xml:space="preserve">В настоящем стандарте применены термины по ГОСТ Р 56935, ГОСТ Р 57369, ГОСТ 21.001, ГОСТ 27.002, </w:t>
      </w:r>
      <w:hyperlink w:anchor="Par130" w:tooltip="[1] Федеральный закон от 22 июля 2008 г. N 123-ФЗ &quot;Технический регламент о требованиях пожарной безопасности&quot;" w:history="1">
        <w:r>
          <w:rPr>
            <w:color w:val="0000FF"/>
          </w:rPr>
          <w:t>[1]</w:t>
        </w:r>
      </w:hyperlink>
      <w:r>
        <w:t xml:space="preserve">, </w:t>
      </w:r>
      <w:hyperlink w:anchor="Par131" w:tooltip="[2] Федеральный закон от 27 декабря 2002 г. N 184-ФЗ &quot;О техническом регулировании&quot;" w:history="1">
        <w:r>
          <w:rPr>
            <w:color w:val="0000FF"/>
          </w:rPr>
          <w:t>[2]</w:t>
        </w:r>
      </w:hyperlink>
      <w:r>
        <w:t xml:space="preserve">, </w:t>
      </w:r>
      <w:hyperlink w:anchor="Par132" w:tooltip="[3] Технический регламент Евразийского экономического союза ТР ЕАЭС 043/2017 &quot;О требованиях к средствам обеспечения пожарной безопасности и пожаротушения&quot;" w:history="1">
        <w:r>
          <w:rPr>
            <w:color w:val="0000FF"/>
          </w:rPr>
          <w:t>[3]</w:t>
        </w:r>
      </w:hyperlink>
      <w:r>
        <w:t>, СП 5.13130, СП 10.13130: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3.1 автоматическая пожарная сигнализация: Совокупность технических сре</w:t>
      </w:r>
      <w:proofErr w:type="gramStart"/>
      <w:r>
        <w:t>дств дл</w:t>
      </w:r>
      <w:proofErr w:type="gramEnd"/>
      <w:r>
        <w:t>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технических устройств.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3.2 автоматическая установка пожаротушения: Установка пожаротушения, автоматически срабатывающая, при превышении контролируемым фактором (факторами) пожара, установленных пороговых значений в защищаемой зоне.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3.3 автономная установка пожаротушения: Установка пожаротушения, автоматически осуществляющая функции обнаружения и тушения пожара независимо от внешних источников питания и систем управления.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3.4 автономное устройство пожаротушения: Стационарное техническое средство, предназначенное для тушения пожара, обеспечивающее выпуск огнетушащего вещества при срабатывании от воздействия опасных факторов пожара.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3.5 внутренний противопожарный водопровод: Совокупность трубопроводов и технических средств, обеспечивающих подачу воды к пожарным кранам.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3.6 проектная документация: </w:t>
      </w:r>
      <w:proofErr w:type="gramStart"/>
      <w:r>
        <w:t>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строительства.</w:t>
      </w:r>
      <w:proofErr w:type="gramEnd"/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3.7 проверка работоспособности систем (системы, элементов) обеспечения пожарной безопасности объекта: </w:t>
      </w:r>
      <w:proofErr w:type="gramStart"/>
      <w:r>
        <w:t xml:space="preserve">Подтверждение соответствия (несоответствия) систем (системы, </w:t>
      </w:r>
      <w:r>
        <w:lastRenderedPageBreak/>
        <w:t>элементов) обеспечения безопасности объекта, при котором проверяются значения всех параметров, характеризующих способность выполнять заданные функции и их соответствие (несоответствие) требованиям законодательства, а также нормативной, технической и/или конструкторской (проектной) документации, стандарта организации, согласованного с профильным техническим комитетом и проводится лицом, имеющим оценку компетентности в соответствующей области, выполненной специалистом (экспертом-аудитором), с применением необходимого аттестованного испытательного оборудования</w:t>
      </w:r>
      <w:proofErr w:type="gramEnd"/>
      <w:r>
        <w:t xml:space="preserve"> и поверенных средств измерений.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3.8 работоспособность: Состояние объекта, при котором значения всех параметров, характеризующих способность выполнять заданные функции, соответствуют требованиям нормативно-технической и (или) конструкторской (проектной) документации.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3.9 сертификат соответствия: Документ, удостоверяющий соответствие объекта требованиям технических регламентов, документам по стандартизации или условиям договоров.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3.10 система оповещения и управления эвакуацией людей при пожаре: Совокупность технических средств, предназначенных для информирования людей о возникновении пожара, необходимости эвакуироваться, путях и очередности эвакуации.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3.11 система </w:t>
      </w:r>
      <w:proofErr w:type="spellStart"/>
      <w:r>
        <w:t>противодымной</w:t>
      </w:r>
      <w:proofErr w:type="spellEnd"/>
      <w:r>
        <w:t xml:space="preserve"> защиты: Комплекс инженерных систем и технических средств, направленных на предотвращение или ограничение распространения продуктов горения в течение времени, необходимого для эвакуации людей в безопасные зоны, или в течение всей продолжительности пожара.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3.12 стандарт организации: Документ по стандартизации, утвержденный юридическим лицом, в том числе государственной корпорацией, </w:t>
      </w:r>
      <w:proofErr w:type="spellStart"/>
      <w:r>
        <w:t>саморегулируемой</w:t>
      </w:r>
      <w:proofErr w:type="spellEnd"/>
      <w:r>
        <w:t xml:space="preserve">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оказания услуг.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4 Общие требования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4.1 Проверку работоспособности систем ППЗ организует собственник объекта защиты или лицо, владеющее им на праве хозяйственного ведения, оперативного управления либо ином законном основании (далее - руководитель).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4.2 Цель (цели) проверки: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подтверждение соответствия (несоответствия) работоспособности систем ППЗ;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 возможность продления сроков эксплуатации систем ППЗ.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5 Периодичность проведения проверки работоспособности систем ППЗ с использованием методов инструментального контроля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5.1 Проверка работоспособности систем автоматической пожарной сигнализации и систем оповещения и управления эвакуацией проводится не реже 1 раза в квартал.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 xml:space="preserve">5.2 Проверка работоспособности систем </w:t>
      </w:r>
      <w:proofErr w:type="spellStart"/>
      <w:r>
        <w:t>противодымной</w:t>
      </w:r>
      <w:proofErr w:type="spellEnd"/>
      <w:r>
        <w:t xml:space="preserve"> защиты, автономных установок (устройств) пожаротушения и автоматических установок пожаротушения, а также внутреннего противопожарного водопровода проводится не реже 1 раза в полгода.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6 Порядок организации проверок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6.1 Приказом руководителя утверждается график проведения плановых проверок работоспособности систем ППЗ, с учетом периодичности, установленной настоящим стандартом.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Внеплановые проверки работоспособности систем ППЗ осуществляются по мере необходимости.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lastRenderedPageBreak/>
        <w:t>6.2 Руководитель организует проведение проверки работоспособности систем ППЗ с участием специалистов (экспертов-аудиторов), состоящих в штате организации или на договорной основе, с привлечением юридических лиц или индивидуальных предпринимателей, обладающих необходимой компетенцией, подтвержденной в системе добровольной сертификации, зарегистрированной в Федеральном агентстве по техническому регулированию и метрологии (далее - экспертная организация).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6.3 Результаты подтверждения соответствия систем ППЗ показателям работоспособности экспертная организация оформляет в форме сертификата соответствия (далее - сертификат), либо актом о наличии неисправностей в системах.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При подтверждении соответствия систем ППЗ показателям работоспособности с участием специалистов (экспертов-аудиторов), состоящих в штате организации, результаты оформляются актом проверки.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6.4</w:t>
      </w:r>
      <w:proofErr w:type="gramStart"/>
      <w:r>
        <w:t xml:space="preserve"> В</w:t>
      </w:r>
      <w:proofErr w:type="gramEnd"/>
      <w:r>
        <w:t xml:space="preserve"> случае выявления в ходе проведения проверки работоспособности систем ППЗ их неисправностей, либо механических повреждений, руководитель обязан принять меры по их устранению, путем привлечения организаций, осуществляющих деятельность по монтажу, ремонту и техническому обслуживанию систем ППЗ.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6.5 Результаты проверки работоспособности систем ППЗ, выполненные экспертной организацией, могут направляться для мониторинга и учета в реестре в секретариат технического комитета по стандартизации "Производственные услуги" (далее - ТК 001), созданный в соответствии с Федеральным законом "О стандартизации в Российской Федерации".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6.6 Проверка работоспособности систем ППЗ проводится с использованием аттестованного испытательного оборудования и поверенных средств измерений по методикам, изложенным в межгосударственных, национальных стандартах, стандартах организаций, а также в технической документации предприятий-изготовителей.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6.7 Методики проверки работоспособности систем ППЗ, изложенные в технической документации и/или стандарте организации предприятия-изготовителя, представляются на техническую экспертизу в секретариат ТК 001.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На основании результатов экспертизы ТК 001 готовит заключение, которое направляет разработчику методики.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ind w:firstLine="540"/>
        <w:jc w:val="both"/>
        <w:outlineLvl w:val="0"/>
      </w:pPr>
      <w:r>
        <w:t>7 Требования к технической документации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7.1</w:t>
      </w:r>
      <w:proofErr w:type="gramStart"/>
      <w:r>
        <w:t xml:space="preserve"> Д</w:t>
      </w:r>
      <w:proofErr w:type="gramEnd"/>
      <w:r>
        <w:t>ля проведения работ по проверке работоспособности систем должна находиться следующая документация: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а) проектная документация;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б) акты ввода систем в эксплуатацию;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в) паспорта, техническая документация и/или сертификат на элементы, технические средства систем;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г) инструкции по эксплуатации систем;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акты проверки работоспособности систем;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е) акты о наличии неисправностей в системах;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ж) журнал учета состояния неисправностей систем;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и) сертификат соответствия систем &lt;1&gt;;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наличии действующих сертификатов.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к) акт мониторинга вывода сигналов на пульт централизованного наблюдения "01" и "112" &lt;2&gt;.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случаях, предусмотренных Федеральным законодательством.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r>
        <w:t>7.2 Порядок учета и хранения технической документации определяется руководителем.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Title"/>
        <w:jc w:val="center"/>
        <w:outlineLvl w:val="0"/>
      </w:pPr>
      <w:r>
        <w:t>Библиография</w:t>
      </w: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ind w:firstLine="540"/>
        <w:jc w:val="both"/>
      </w:pPr>
      <w:bookmarkStart w:id="1" w:name="Par130"/>
      <w:bookmarkEnd w:id="1"/>
      <w:r>
        <w:t>[1] Федеральный закон от 22 июля 2008 г. N 123-ФЗ "Технический регламент о требованиях пожарной безопасности"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bookmarkStart w:id="2" w:name="Par131"/>
      <w:bookmarkEnd w:id="2"/>
      <w:r>
        <w:t>[2] Федеральный закон от 27 декабря 2002 г. N 184-ФЗ "О техническом регулировании"</w:t>
      </w:r>
    </w:p>
    <w:p w:rsidR="002C26E3" w:rsidRDefault="002C26E3" w:rsidP="002C26E3">
      <w:pPr>
        <w:pStyle w:val="ConsPlusNormal"/>
        <w:spacing w:before="200"/>
        <w:ind w:firstLine="540"/>
        <w:jc w:val="both"/>
      </w:pPr>
      <w:bookmarkStart w:id="3" w:name="Par132"/>
      <w:bookmarkEnd w:id="3"/>
      <w:r>
        <w:t xml:space="preserve">[3] Технический регламент Евразийского экономического союза </w:t>
      </w:r>
      <w:proofErr w:type="gramStart"/>
      <w:r>
        <w:t>ТР</w:t>
      </w:r>
      <w:proofErr w:type="gramEnd"/>
      <w:r>
        <w:t xml:space="preserve"> ЕАЭС 043/2017 "О требованиях к средствам обеспечения пожарной безопасности и пожаротушения"</w:t>
      </w:r>
    </w:p>
    <w:p w:rsidR="002C26E3" w:rsidRDefault="002C26E3" w:rsidP="002C26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3"/>
        <w:gridCol w:w="2497"/>
        <w:gridCol w:w="2124"/>
        <w:gridCol w:w="2104"/>
      </w:tblGrid>
      <w:tr w:rsidR="002C26E3" w:rsidTr="003C20DB">
        <w:tc>
          <w:tcPr>
            <w:tcW w:w="3013" w:type="dxa"/>
            <w:tcBorders>
              <w:top w:val="single" w:sz="4" w:space="0" w:color="auto"/>
            </w:tcBorders>
          </w:tcPr>
          <w:p w:rsidR="002C26E3" w:rsidRDefault="002C26E3" w:rsidP="003C20DB">
            <w:pPr>
              <w:pStyle w:val="ConsPlusNormal"/>
            </w:pPr>
            <w:r>
              <w:t>УДК 006.3: 006.354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2C26E3" w:rsidRDefault="002C26E3" w:rsidP="003C20DB">
            <w:pPr>
              <w:pStyle w:val="ConsPlusNormal"/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C26E3" w:rsidRDefault="002C26E3" w:rsidP="003C20DB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2C26E3" w:rsidRDefault="002C26E3" w:rsidP="003C20DB">
            <w:pPr>
              <w:pStyle w:val="ConsPlusNormal"/>
              <w:jc w:val="right"/>
            </w:pPr>
            <w:r>
              <w:t>ОКС 03.080.10</w:t>
            </w:r>
          </w:p>
        </w:tc>
      </w:tr>
      <w:tr w:rsidR="002C26E3" w:rsidTr="003C20DB">
        <w:tc>
          <w:tcPr>
            <w:tcW w:w="9738" w:type="dxa"/>
            <w:gridSpan w:val="4"/>
          </w:tcPr>
          <w:p w:rsidR="002C26E3" w:rsidRDefault="002C26E3" w:rsidP="003C20DB">
            <w:pPr>
              <w:pStyle w:val="ConsPlusNormal"/>
            </w:pPr>
          </w:p>
        </w:tc>
      </w:tr>
      <w:tr w:rsidR="002C26E3" w:rsidTr="003C20DB">
        <w:tc>
          <w:tcPr>
            <w:tcW w:w="9738" w:type="dxa"/>
            <w:gridSpan w:val="4"/>
            <w:tcBorders>
              <w:bottom w:val="single" w:sz="4" w:space="0" w:color="auto"/>
            </w:tcBorders>
          </w:tcPr>
          <w:p w:rsidR="002C26E3" w:rsidRDefault="002C26E3" w:rsidP="003C20DB">
            <w:pPr>
              <w:pStyle w:val="ConsPlusNormal"/>
              <w:jc w:val="both"/>
            </w:pPr>
            <w:r>
              <w:t>Ключевые слова: проверка работоспособности, системы противопожарной защиты</w:t>
            </w:r>
          </w:p>
        </w:tc>
      </w:tr>
    </w:tbl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jc w:val="both"/>
      </w:pPr>
    </w:p>
    <w:p w:rsidR="002C26E3" w:rsidRDefault="002C26E3" w:rsidP="002C2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976" w:rsidRPr="002C26E3" w:rsidRDefault="005D3798" w:rsidP="002C26E3"/>
    <w:sectPr w:rsidR="007C1976" w:rsidRPr="002C26E3" w:rsidSect="0077457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98" w:rsidRDefault="005D3798" w:rsidP="000C7A71">
      <w:pPr>
        <w:spacing w:after="0" w:line="240" w:lineRule="auto"/>
      </w:pPr>
      <w:r>
        <w:separator/>
      </w:r>
    </w:p>
  </w:endnote>
  <w:endnote w:type="continuationSeparator" w:id="0">
    <w:p w:rsidR="005D3798" w:rsidRDefault="005D3798" w:rsidP="000C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E3" w:rsidRDefault="002C2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E3" w:rsidRDefault="002C26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E3" w:rsidRDefault="002C26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Pr="000C7A71" w:rsidRDefault="000C7A71">
    <w:pPr>
      <w:pStyle w:val="a5"/>
      <w:rPr>
        <w:b/>
        <w:sz w:val="20"/>
        <w:szCs w:val="20"/>
      </w:rPr>
    </w:pPr>
    <w:r w:rsidRPr="000C7A71">
      <w:rPr>
        <w:b/>
        <w:sz w:val="20"/>
        <w:szCs w:val="20"/>
      </w:rPr>
      <w:t>Материалы подготовлены редакцией журнала «Главбух»</w:t>
    </w:r>
  </w:p>
  <w:p w:rsidR="000C7A71" w:rsidRPr="000C7A71" w:rsidRDefault="000C7A71">
    <w:pPr>
      <w:pStyle w:val="a5"/>
      <w:rPr>
        <w:b/>
        <w:sz w:val="20"/>
        <w:szCs w:val="20"/>
      </w:rPr>
    </w:pPr>
    <w:r w:rsidRPr="000C7A71">
      <w:rPr>
        <w:b/>
        <w:sz w:val="20"/>
        <w:szCs w:val="20"/>
      </w:rPr>
      <w:t xml:space="preserve">Все сервисы: </w:t>
    </w:r>
    <w:r w:rsidRPr="000C7A71">
      <w:rPr>
        <w:b/>
        <w:sz w:val="20"/>
        <w:szCs w:val="20"/>
        <w:lang w:val="en-US"/>
      </w:rPr>
      <w:t>www</w:t>
    </w:r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glavbukh</w:t>
    </w:r>
    <w:proofErr w:type="spellEnd"/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ru</w:t>
    </w:r>
    <w:proofErr w:type="spellEnd"/>
    <w:r w:rsidRPr="000C7A71">
      <w:rPr>
        <w:b/>
        <w:sz w:val="20"/>
        <w:szCs w:val="20"/>
      </w:rPr>
      <w:t>/</w:t>
    </w:r>
    <w:r w:rsidRPr="000C7A71">
      <w:rPr>
        <w:b/>
        <w:sz w:val="20"/>
        <w:szCs w:val="20"/>
        <w:lang w:val="en-US"/>
      </w:rPr>
      <w:t>service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98" w:rsidRDefault="005D3798" w:rsidP="000C7A71">
      <w:pPr>
        <w:spacing w:after="0" w:line="240" w:lineRule="auto"/>
      </w:pPr>
      <w:r>
        <w:separator/>
      </w:r>
    </w:p>
  </w:footnote>
  <w:footnote w:type="continuationSeparator" w:id="0">
    <w:p w:rsidR="005D3798" w:rsidRDefault="005D3798" w:rsidP="000C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E3" w:rsidRDefault="002C26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1701"/>
      <w:gridCol w:w="958"/>
    </w:tblGrid>
    <w:tr w:rsidR="002C26E3" w:rsidTr="003C20DB">
      <w:trPr>
        <w:trHeight w:val="357"/>
      </w:trPr>
      <w:tc>
        <w:tcPr>
          <w:tcW w:w="6912" w:type="dxa"/>
          <w:vMerge w:val="restart"/>
        </w:tcPr>
        <w:p w:rsidR="002C26E3" w:rsidRPr="000C7A71" w:rsidRDefault="002C26E3" w:rsidP="003C20DB">
          <w:pPr>
            <w:pStyle w:val="a3"/>
            <w:rPr>
              <w:rFonts w:ascii="Arial" w:hAnsi="Arial" w:cs="Arial"/>
            </w:rPr>
          </w:pPr>
          <w:r w:rsidRPr="000C7A71">
            <w:rPr>
              <w:rFonts w:ascii="Arial" w:hAnsi="Arial" w:cs="Arial"/>
              <w:noProof/>
            </w:rPr>
            <w:drawing>
              <wp:inline distT="0" distB="0" distL="0" distR="0">
                <wp:extent cx="1285875" cy="5810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vAlign w:val="bottom"/>
        </w:tcPr>
        <w:p w:rsidR="002C26E3" w:rsidRPr="000C7A71" w:rsidRDefault="002C26E3" w:rsidP="003C20DB">
          <w:pPr>
            <w:pStyle w:val="a3"/>
            <w:rPr>
              <w:rFonts w:ascii="Arial" w:hAnsi="Arial" w:cs="Arial"/>
              <w:b/>
              <w:sz w:val="24"/>
              <w:szCs w:val="24"/>
            </w:rPr>
          </w:pPr>
          <w:r w:rsidRPr="000C7A71">
            <w:rPr>
              <w:rFonts w:ascii="Arial" w:hAnsi="Arial" w:cs="Arial"/>
              <w:b/>
              <w:sz w:val="24"/>
              <w:szCs w:val="24"/>
            </w:rPr>
            <w:t xml:space="preserve">Быстрая подписка </w:t>
          </w:r>
        </w:p>
      </w:tc>
    </w:tr>
    <w:tr w:rsidR="002C26E3" w:rsidTr="003C20DB">
      <w:trPr>
        <w:trHeight w:val="357"/>
      </w:trPr>
      <w:tc>
        <w:tcPr>
          <w:tcW w:w="6912" w:type="dxa"/>
          <w:vMerge/>
        </w:tcPr>
        <w:p w:rsidR="002C26E3" w:rsidRPr="000C7A71" w:rsidRDefault="002C26E3" w:rsidP="003C20DB">
          <w:pPr>
            <w:pStyle w:val="a3"/>
            <w:rPr>
              <w:rFonts w:ascii="Arial" w:hAnsi="Arial" w:cs="Arial"/>
              <w:noProof/>
            </w:rPr>
          </w:pPr>
        </w:p>
      </w:tc>
      <w:tc>
        <w:tcPr>
          <w:tcW w:w="1701" w:type="dxa"/>
          <w:vAlign w:val="bottom"/>
        </w:tcPr>
        <w:p w:rsidR="002C26E3" w:rsidRPr="000C7A71" w:rsidRDefault="002C26E3" w:rsidP="003C20DB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8 495 785-01-14</w:t>
          </w:r>
        </w:p>
        <w:p w:rsidR="002C26E3" w:rsidRPr="000C7A71" w:rsidRDefault="002C26E3" w:rsidP="003C20DB">
          <w:pPr>
            <w:pStyle w:val="a3"/>
            <w:rPr>
              <w:rFonts w:ascii="Arial" w:hAnsi="Arial" w:cs="Arial"/>
              <w:b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8 800 222-15-72</w:t>
          </w:r>
        </w:p>
      </w:tc>
      <w:tc>
        <w:tcPr>
          <w:tcW w:w="958" w:type="dxa"/>
          <w:vAlign w:val="bottom"/>
        </w:tcPr>
        <w:p w:rsidR="002C26E3" w:rsidRPr="000C7A71" w:rsidRDefault="002C26E3" w:rsidP="003C20DB">
          <w:pPr>
            <w:pStyle w:val="a3"/>
            <w:rPr>
              <w:rFonts w:ascii="Arial" w:hAnsi="Arial" w:cs="Arial"/>
              <w:sz w:val="10"/>
              <w:szCs w:val="10"/>
            </w:rPr>
          </w:pPr>
          <w:r w:rsidRPr="000C7A71">
            <w:rPr>
              <w:rFonts w:ascii="Arial" w:hAnsi="Arial" w:cs="Arial"/>
              <w:sz w:val="10"/>
              <w:szCs w:val="10"/>
            </w:rPr>
            <w:t xml:space="preserve">звонок </w:t>
          </w:r>
        </w:p>
        <w:p w:rsidR="002C26E3" w:rsidRPr="000C7A71" w:rsidRDefault="002C26E3" w:rsidP="003C20DB">
          <w:pPr>
            <w:pStyle w:val="a3"/>
            <w:rPr>
              <w:rFonts w:ascii="Arial" w:hAnsi="Arial" w:cs="Arial"/>
              <w:sz w:val="12"/>
              <w:szCs w:val="12"/>
            </w:rPr>
          </w:pPr>
          <w:r w:rsidRPr="000C7A71">
            <w:rPr>
              <w:rFonts w:ascii="Arial" w:hAnsi="Arial" w:cs="Arial"/>
              <w:sz w:val="10"/>
              <w:szCs w:val="10"/>
            </w:rPr>
            <w:t>бесплатный</w:t>
          </w:r>
        </w:p>
      </w:tc>
    </w:tr>
  </w:tbl>
  <w:p w:rsidR="002C26E3" w:rsidRDefault="002C26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E3" w:rsidRDefault="002C26E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1" w:rsidRDefault="000C7A71">
    <w:pPr>
      <w:pStyle w:val="a3"/>
    </w:pPr>
    <w:bookmarkStart w:id="4" w:name="OLE_LINK1"/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12"/>
      <w:gridCol w:w="1701"/>
      <w:gridCol w:w="958"/>
    </w:tblGrid>
    <w:tr w:rsidR="000C7A71" w:rsidTr="000C7A71">
      <w:trPr>
        <w:trHeight w:val="357"/>
      </w:trPr>
      <w:tc>
        <w:tcPr>
          <w:tcW w:w="6912" w:type="dxa"/>
          <w:vMerge w:val="restart"/>
        </w:tcPr>
        <w:p w:rsidR="000C7A71" w:rsidRPr="000C7A71" w:rsidRDefault="000C7A71">
          <w:pPr>
            <w:pStyle w:val="a3"/>
            <w:rPr>
              <w:rFonts w:ascii="Arial" w:hAnsi="Arial" w:cs="Arial"/>
            </w:rPr>
          </w:pPr>
          <w:r w:rsidRPr="000C7A71">
            <w:rPr>
              <w:rFonts w:ascii="Arial" w:hAnsi="Arial" w:cs="Arial"/>
              <w:noProof/>
            </w:rPr>
            <w:drawing>
              <wp:inline distT="0" distB="0" distL="0" distR="0">
                <wp:extent cx="1285875" cy="5810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b/>
              <w:sz w:val="24"/>
              <w:szCs w:val="24"/>
            </w:rPr>
          </w:pPr>
          <w:r w:rsidRPr="000C7A71">
            <w:rPr>
              <w:rFonts w:ascii="Arial" w:hAnsi="Arial" w:cs="Arial"/>
              <w:b/>
              <w:sz w:val="24"/>
              <w:szCs w:val="24"/>
            </w:rPr>
            <w:t xml:space="preserve">Быстрая подписка </w:t>
          </w:r>
        </w:p>
      </w:tc>
    </w:tr>
    <w:tr w:rsidR="000C7A71" w:rsidTr="000C7A71">
      <w:trPr>
        <w:trHeight w:val="357"/>
      </w:trPr>
      <w:tc>
        <w:tcPr>
          <w:tcW w:w="6912" w:type="dxa"/>
          <w:vMerge/>
        </w:tcPr>
        <w:p w:rsidR="000C7A71" w:rsidRPr="000C7A71" w:rsidRDefault="000C7A71">
          <w:pPr>
            <w:pStyle w:val="a3"/>
            <w:rPr>
              <w:rFonts w:ascii="Arial" w:hAnsi="Arial" w:cs="Arial"/>
              <w:noProof/>
            </w:rPr>
          </w:pPr>
        </w:p>
      </w:tc>
      <w:tc>
        <w:tcPr>
          <w:tcW w:w="1701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8 495 785-01-14</w:t>
          </w:r>
        </w:p>
        <w:p w:rsidR="000C7A71" w:rsidRPr="000C7A71" w:rsidRDefault="000C7A71" w:rsidP="000C7A71">
          <w:pPr>
            <w:pStyle w:val="a3"/>
            <w:rPr>
              <w:rFonts w:ascii="Arial" w:hAnsi="Arial" w:cs="Arial"/>
              <w:b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8 800 222-15-72</w:t>
          </w:r>
        </w:p>
      </w:tc>
      <w:tc>
        <w:tcPr>
          <w:tcW w:w="958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sz w:val="10"/>
              <w:szCs w:val="10"/>
            </w:rPr>
          </w:pPr>
          <w:r w:rsidRPr="000C7A71">
            <w:rPr>
              <w:rFonts w:ascii="Arial" w:hAnsi="Arial" w:cs="Arial"/>
              <w:sz w:val="10"/>
              <w:szCs w:val="10"/>
            </w:rPr>
            <w:t xml:space="preserve">звонок </w:t>
          </w:r>
        </w:p>
        <w:p w:rsidR="000C7A71" w:rsidRPr="000C7A71" w:rsidRDefault="000C7A71" w:rsidP="000C7A71">
          <w:pPr>
            <w:pStyle w:val="a3"/>
            <w:rPr>
              <w:rFonts w:ascii="Arial" w:hAnsi="Arial" w:cs="Arial"/>
              <w:sz w:val="12"/>
              <w:szCs w:val="12"/>
            </w:rPr>
          </w:pPr>
          <w:r w:rsidRPr="000C7A71">
            <w:rPr>
              <w:rFonts w:ascii="Arial" w:hAnsi="Arial" w:cs="Arial"/>
              <w:sz w:val="10"/>
              <w:szCs w:val="10"/>
            </w:rPr>
            <w:t>бесплатный</w:t>
          </w:r>
        </w:p>
      </w:tc>
    </w:tr>
    <w:bookmarkEnd w:id="4"/>
  </w:tbl>
  <w:p w:rsidR="000C7A71" w:rsidRDefault="000C7A71">
    <w:pPr>
      <w:pStyle w:val="a3"/>
    </w:pPr>
  </w:p>
  <w:p w:rsidR="000C7A71" w:rsidRDefault="000C7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7A71"/>
    <w:rsid w:val="000C7A71"/>
    <w:rsid w:val="00246BF4"/>
    <w:rsid w:val="002C26E3"/>
    <w:rsid w:val="00444762"/>
    <w:rsid w:val="00533897"/>
    <w:rsid w:val="005D3798"/>
    <w:rsid w:val="00774572"/>
    <w:rsid w:val="007A7C3C"/>
    <w:rsid w:val="00841F7E"/>
    <w:rsid w:val="009D4B9B"/>
    <w:rsid w:val="00C436F6"/>
    <w:rsid w:val="00E92137"/>
    <w:rsid w:val="00E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2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2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C26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k.nikolaeva</cp:lastModifiedBy>
  <cp:revision>2</cp:revision>
  <dcterms:created xsi:type="dcterms:W3CDTF">2018-04-24T06:36:00Z</dcterms:created>
  <dcterms:modified xsi:type="dcterms:W3CDTF">2018-04-24T06:36:00Z</dcterms:modified>
</cp:coreProperties>
</file>